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783"/>
        <w:gridCol w:w="4817"/>
      </w:tblGrid>
      <w:tr w:rsidR="00B27CB7" w:rsidRPr="00A7405D" w14:paraId="23FAEC37" w14:textId="77777777" w:rsidTr="00FE53CA"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75DE183" w14:textId="35AA9160" w:rsidR="008D0EC3" w:rsidRPr="009824B6" w:rsidRDefault="008D0EC3" w:rsidP="008D0EC3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  <w:t>Skill set code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9B27EF" w14:textId="34AF920C" w:rsidR="008D0EC3" w:rsidRDefault="008D0EC3" w:rsidP="008D0EC3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HLTSS000</w:t>
            </w:r>
            <w:r w:rsidR="00DF44AA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88</w:t>
            </w:r>
          </w:p>
          <w:p w14:paraId="17A159B3" w14:textId="6BE0039D" w:rsidR="00A7405D" w:rsidRPr="009824B6" w:rsidRDefault="00A7405D" w:rsidP="008D0EC3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1B821A1C" w14:paraId="400E6306" w14:textId="77777777" w:rsidTr="00FE53CA"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118F283" w14:textId="43465C89" w:rsidR="1B821A1C" w:rsidRPr="009824B6" w:rsidRDefault="001433B1" w:rsidP="1B821A1C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  <w:r w:rsidRPr="009824B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Skill set title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0268FA" w14:textId="77777777" w:rsidR="1B821A1C" w:rsidRDefault="1B821A1C" w:rsidP="1B821A1C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llied </w:t>
            </w:r>
            <w:r w:rsidR="003D72CD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H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ealth </w:t>
            </w:r>
            <w:r w:rsidR="003D72CD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ssistance</w:t>
            </w:r>
            <w:r w:rsidR="003D72CD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- Audiometry </w:t>
            </w:r>
            <w:r w:rsidR="003D72CD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S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kill </w:t>
            </w:r>
            <w:r w:rsidR="003D72CD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S</w:t>
            </w:r>
            <w:r w:rsidR="3721278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et</w:t>
            </w:r>
          </w:p>
          <w:p w14:paraId="6CC61932" w14:textId="7F4D2162" w:rsidR="1B821A1C" w:rsidRPr="009824B6" w:rsidRDefault="1B821A1C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563C1A" w14:paraId="09EE0768" w14:textId="77777777" w:rsidTr="00B56B81">
        <w:trPr>
          <w:trHeight w:val="115"/>
        </w:trPr>
        <w:tc>
          <w:tcPr>
            <w:tcW w:w="274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7056AAC" w14:textId="1F08A90B" w:rsidR="00563C1A" w:rsidRPr="009824B6" w:rsidRDefault="00563C1A" w:rsidP="1B821A1C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  <w:r w:rsidRPr="009824B6"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  <w:t xml:space="preserve">Modification </w:t>
            </w:r>
            <w:r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  <w:t>h</w:t>
            </w:r>
            <w:r w:rsidRPr="009824B6"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  <w:t>istory</w:t>
            </w:r>
          </w:p>
        </w:tc>
        <w:tc>
          <w:tcPr>
            <w:tcW w:w="178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DDBEF5" w14:textId="32D35921" w:rsidR="00563C1A" w:rsidRPr="00563C1A" w:rsidRDefault="00563C1A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Release </w:t>
            </w:r>
          </w:p>
        </w:tc>
        <w:tc>
          <w:tcPr>
            <w:tcW w:w="4817" w:type="dxa"/>
            <w:tcBorders>
              <w:right w:val="single" w:sz="6" w:space="0" w:color="auto"/>
            </w:tcBorders>
          </w:tcPr>
          <w:p w14:paraId="30C4E23C" w14:textId="2EA57BDA" w:rsidR="00563C1A" w:rsidRPr="009824B6" w:rsidRDefault="00563C1A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</w:rPr>
              <w:t>Comments</w:t>
            </w:r>
          </w:p>
        </w:tc>
      </w:tr>
      <w:tr w:rsidR="00563C1A" w14:paraId="7860EA1D" w14:textId="77777777" w:rsidTr="00B56B81">
        <w:trPr>
          <w:trHeight w:val="115"/>
        </w:trPr>
        <w:tc>
          <w:tcPr>
            <w:tcW w:w="274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75F959F" w14:textId="77777777" w:rsidR="00563C1A" w:rsidRPr="00A7405D" w:rsidRDefault="00563C1A" w:rsidP="1B821A1C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783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00B0FB" w14:textId="6479E1AB" w:rsidR="00563C1A" w:rsidRPr="00563C1A" w:rsidRDefault="00563C1A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Release 1</w:t>
            </w:r>
          </w:p>
        </w:tc>
        <w:tc>
          <w:tcPr>
            <w:tcW w:w="4817" w:type="dxa"/>
            <w:tcBorders>
              <w:right w:val="single" w:sz="6" w:space="0" w:color="auto"/>
            </w:tcBorders>
          </w:tcPr>
          <w:p w14:paraId="48FBA11E" w14:textId="4B6A7737" w:rsidR="00563C1A" w:rsidRPr="00563C1A" w:rsidRDefault="00CC13FE" w:rsidP="00B56B81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Supersedes and is not equivalent to </w:t>
            </w:r>
            <w:r w:rsidR="00903D55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HLTSS00047 Audiometry Skill Set</w:t>
            </w:r>
            <w:r w:rsidR="00903D55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br/>
            </w:r>
            <w:r w:rsidR="003B68CF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Skill set description updated. </w:t>
            </w:r>
            <w:r w:rsidR="0022569E" w:rsidRPr="0022569E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Units contained in skill set updated and not equivalent</w:t>
            </w:r>
            <w:r w:rsidR="00427F67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. Unit deleted </w:t>
            </w:r>
            <w:r w:rsidR="00983DFE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and added.</w:t>
            </w:r>
          </w:p>
        </w:tc>
      </w:tr>
      <w:tr w:rsidR="1B821A1C" w14:paraId="6A379947" w14:textId="77777777" w:rsidTr="00FE53CA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AFF0C96" w14:textId="2A49C345" w:rsidR="1B821A1C" w:rsidRPr="009824B6" w:rsidRDefault="00673269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</w:rPr>
            </w:pPr>
            <w:r w:rsidRPr="00673269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Skill set description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CF4D7B" w14:textId="26B9632C" w:rsidR="73EFE376" w:rsidRDefault="73EFE376" w:rsidP="25D7A7E0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This skill set reflects the skills and knowledge for an </w:t>
            </w:r>
            <w:r w:rsidR="541B4EEA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llied </w:t>
            </w:r>
            <w:r w:rsidR="2C1F0C54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h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ealth </w:t>
            </w:r>
            <w:r w:rsidR="2D95F3EE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ssistant working under the direct, indirect or remote supervision and delegation of a</w:t>
            </w:r>
            <w:r w:rsidR="31C9F3D7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n audiologist or </w:t>
            </w:r>
            <w:r w:rsidR="00F96AE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audiometrists</w:t>
            </w:r>
            <w:r w:rsidR="31C9F3D7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to assist in </w:t>
            </w:r>
            <w:r w:rsidR="008E7D9D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conducting</w:t>
            </w:r>
            <w:r w:rsidR="00422F6C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EA16F1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basic audiometric testing and </w:t>
            </w:r>
            <w:r w:rsidR="00112D17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supporting clients with hearing device management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.</w:t>
            </w:r>
          </w:p>
          <w:p w14:paraId="5C1FD39F" w14:textId="086E049B" w:rsidR="1B821A1C" w:rsidRPr="009824B6" w:rsidRDefault="00FC340B" w:rsidP="00234D2F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FC340B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AU"/>
              </w:rPr>
              <w:t>No licensing or certification requirements apply to this qualification at the time of publication.</w:t>
            </w:r>
          </w:p>
        </w:tc>
      </w:tr>
      <w:tr w:rsidR="1B821A1C" w14:paraId="1635BB08" w14:textId="77777777" w:rsidTr="00FE53CA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DC2F560" w14:textId="520133E8" w:rsidR="1B821A1C" w:rsidRPr="009824B6" w:rsidRDefault="1B821A1C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</w:rPr>
            </w:pPr>
            <w:r w:rsidRPr="00A7405D"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  <w:lang w:val="en-AU"/>
              </w:rPr>
              <w:t>Pathways Information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FFE337" w14:textId="2555CC99" w:rsidR="1B821A1C" w:rsidRPr="009824B6" w:rsidRDefault="73B4EEAA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Achievement of these units provides credit towards </w:t>
            </w:r>
            <w:r w:rsidR="00963FF1" w:rsidRPr="00963FF1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HLT47425 Certificate IV in Audiometry and the HLT57425 Diploma of Audiometry</w:t>
            </w:r>
            <w:r w:rsidR="007C3BAA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br/>
            </w:r>
          </w:p>
        </w:tc>
      </w:tr>
      <w:tr w:rsidR="00234D2F" w14:paraId="47241EA1" w14:textId="77777777" w:rsidTr="00FE53CA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D045F96" w14:textId="31F3949B" w:rsidR="00234D2F" w:rsidRPr="00A7405D" w:rsidRDefault="00234D2F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  <w:lang w:val="en-AU"/>
              </w:rPr>
              <w:t>Entry requirements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F174E8" w14:textId="77777777" w:rsidR="00234D2F" w:rsidRPr="007867CA" w:rsidRDefault="00234D2F" w:rsidP="00234D2F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7867CA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This skill set is for individuals who hold either:</w:t>
            </w:r>
          </w:p>
          <w:p w14:paraId="0D1EBE3A" w14:textId="77777777" w:rsidR="00234D2F" w:rsidRPr="007867CA" w:rsidRDefault="00234D2F" w:rsidP="00234D2F">
            <w:pPr>
              <w:pStyle w:val="CATUnitTitle"/>
              <w:numPr>
                <w:ilvl w:val="0"/>
                <w:numId w:val="1"/>
              </w:numPr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7867CA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a certificate IV in health, community services or a related field, or</w:t>
            </w:r>
          </w:p>
          <w:p w14:paraId="6F7477A8" w14:textId="77777777" w:rsidR="00234D2F" w:rsidRDefault="00234D2F" w:rsidP="00234D2F">
            <w:pPr>
              <w:pStyle w:val="CATUnitTitle"/>
              <w:numPr>
                <w:ilvl w:val="0"/>
                <w:numId w:val="1"/>
              </w:numPr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7867CA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a certificate III in a related field with a minimum of 12 months relevant industry experience.</w:t>
            </w:r>
            <w:r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3BD3CB1E" w14:textId="77777777" w:rsidR="00234D2F" w:rsidRPr="009824B6" w:rsidRDefault="00234D2F" w:rsidP="1B821A1C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2D610C" w:rsidRPr="002D610C" w14:paraId="39A2730B" w14:textId="77777777" w:rsidTr="007B74EF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</w:tcPr>
          <w:p w14:paraId="7E267A3E" w14:textId="36C5F548" w:rsidR="002D610C" w:rsidRPr="00A7405D" w:rsidRDefault="002D610C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2D610C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Foundation skills outcomes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</w:tcPr>
          <w:p w14:paraId="0875E26E" w14:textId="48495473" w:rsidR="002D610C" w:rsidRPr="004E23CD" w:rsidRDefault="004E23CD" w:rsidP="1B821A1C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AU"/>
              </w:rPr>
            </w:pPr>
            <w:r w:rsidRPr="004E23CD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The foundation skills outcomes implicit in this skill set are outlined in the below bar chart.</w:t>
            </w:r>
          </w:p>
          <w:p w14:paraId="0472E850" w14:textId="77777777" w:rsidR="002D610C" w:rsidRDefault="002D610C" w:rsidP="1B821A1C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</w:p>
          <w:p w14:paraId="252C9024" w14:textId="08D694E1" w:rsidR="004E23CD" w:rsidRPr="002D610C" w:rsidRDefault="004E23CD" w:rsidP="1B821A1C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2B1A28B2" wp14:editId="25980DE8">
                  <wp:extent cx="4053840" cy="2517775"/>
                  <wp:effectExtent l="0" t="0" r="10160" b="9525"/>
                  <wp:docPr id="63689901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D573C3-1D48-1B04-29DE-DAA4C26A15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1B821A1C" w14:paraId="2AA839C8" w14:textId="77777777" w:rsidTr="00FE53CA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29102C9" w14:textId="4E09AFB4" w:rsidR="1B821A1C" w:rsidRPr="009824B6" w:rsidRDefault="1B821A1C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</w:rPr>
            </w:pPr>
            <w:r w:rsidRPr="00A7405D"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  <w:lang w:val="en-AU"/>
              </w:rPr>
              <w:t>Skill Set Requirements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D55369" w14:textId="7DD25C7C" w:rsidR="5102D22E" w:rsidRPr="009824B6" w:rsidRDefault="5102D22E" w:rsidP="4B03D495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HLTAUD</w:t>
            </w:r>
            <w:r w:rsidR="00E9474E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00</w:t>
            </w:r>
            <w:r w:rsidR="00E31E10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7</w:t>
            </w:r>
            <w:r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Conduct </w:t>
            </w:r>
            <w:r w:rsidR="29C7E031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basic audiometric testing</w:t>
            </w:r>
            <w:r w:rsidR="00335821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109309A7" w14:textId="3EC182A6" w:rsidR="005514CC" w:rsidRPr="009824B6" w:rsidRDefault="1B821A1C" w:rsidP="4B03D495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HLTAUD</w:t>
            </w:r>
            <w:r w:rsidR="4C97EADC"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00</w:t>
            </w:r>
            <w:r w:rsidR="00E31E10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9</w:t>
            </w:r>
            <w:r w:rsidR="00F167A6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5514CC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Conduct </w:t>
            </w:r>
            <w:r w:rsidR="00704815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audiometric </w:t>
            </w:r>
            <w:r w:rsidR="005514CC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screening for school aged children </w:t>
            </w:r>
          </w:p>
          <w:p w14:paraId="756E546C" w14:textId="20BDEB28" w:rsidR="00946FF5" w:rsidRPr="009824B6" w:rsidRDefault="00946FF5" w:rsidP="79ECFC8B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HLTAUD</w:t>
            </w:r>
            <w:r w:rsidR="00E0170C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0</w:t>
            </w:r>
            <w:r w:rsidR="00E31E10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13</w:t>
            </w:r>
            <w:r w:rsidR="008F089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 xml:space="preserve"> Assist </w:t>
            </w:r>
            <w:r w:rsidR="000E1625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c</w:t>
            </w:r>
            <w:r w:rsidR="008F089F" w:rsidRPr="009824B6"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  <w:t>lient with management of hearing devices</w:t>
            </w:r>
          </w:p>
          <w:p w14:paraId="49B0AEC4" w14:textId="546F7F72" w:rsidR="1B821A1C" w:rsidRPr="009824B6" w:rsidRDefault="1B821A1C" w:rsidP="009824B6">
            <w:pPr>
              <w:pStyle w:val="CATUnitTitle"/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B821A1C" w14:paraId="495D70C3" w14:textId="77777777" w:rsidTr="009824B6">
        <w:trPr>
          <w:trHeight w:val="300"/>
        </w:trPr>
        <w:tc>
          <w:tcPr>
            <w:tcW w:w="274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774B53" w14:textId="2FB53EB0" w:rsidR="1B821A1C" w:rsidRPr="009824B6" w:rsidRDefault="00530588" w:rsidP="1B821A1C">
            <w:pPr>
              <w:pStyle w:val="NoSpacing"/>
              <w:spacing w:after="120"/>
              <w:rPr>
                <w:rFonts w:ascii="Calibri" w:eastAsia="Arial Narrow" w:hAnsi="Calibri" w:cs="Calibri"/>
                <w:b/>
                <w:color w:val="000000" w:themeColor="text1"/>
                <w:sz w:val="22"/>
                <w:szCs w:val="22"/>
              </w:rPr>
            </w:pPr>
            <w:r w:rsidRPr="009824B6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lastRenderedPageBreak/>
              <w:t>Skill set mapping information</w:t>
            </w:r>
          </w:p>
        </w:tc>
        <w:tc>
          <w:tcPr>
            <w:tcW w:w="660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F28CA3" w14:textId="37AA882A" w:rsidR="1B821A1C" w:rsidRPr="009824B6" w:rsidRDefault="007C3BAA" w:rsidP="25D7A7E0">
            <w:pPr>
              <w:pStyle w:val="CATUnitTitle"/>
              <w:rPr>
                <w:rFonts w:ascii="Calibri" w:eastAsia="Arial Narrow" w:hAnsi="Calibri" w:cs="Calibri"/>
                <w:b w:val="0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eastAsia="Calibri" w:cstheme="minorHAnsi"/>
                <w:b w:val="0"/>
                <w:sz w:val="22"/>
              </w:rPr>
              <w:t xml:space="preserve">Supersedes and is not equivalent to </w:t>
            </w:r>
            <w:r w:rsidRPr="00903D55">
              <w:rPr>
                <w:rFonts w:eastAsia="Calibri" w:cstheme="minorHAnsi"/>
                <w:b w:val="0"/>
                <w:sz w:val="22"/>
              </w:rPr>
              <w:t>HLTSS00047 Audiometry Skill Set</w:t>
            </w:r>
            <w:r w:rsidRPr="00A7405D">
              <w:rPr>
                <w:rFonts w:ascii="Calibri" w:eastAsia="Arial Narrow" w:hAnsi="Calibri" w:cs="Calibri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</w:tc>
      </w:tr>
      <w:tr w:rsidR="00D746A5" w:rsidRPr="00C52BE6" w14:paraId="728C0865" w14:textId="77777777" w:rsidTr="00FE53CA">
        <w:trPr>
          <w:trHeight w:val="300"/>
        </w:trPr>
        <w:tc>
          <w:tcPr>
            <w:tcW w:w="274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10A7089" w14:textId="70B821E5" w:rsidR="00D746A5" w:rsidRPr="00C52BE6" w:rsidRDefault="00D746A5" w:rsidP="00D746A5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Links  </w:t>
            </w:r>
          </w:p>
        </w:tc>
        <w:tc>
          <w:tcPr>
            <w:tcW w:w="660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8C1EF2" w14:textId="62F93969" w:rsidR="00D746A5" w:rsidRPr="00C52BE6" w:rsidRDefault="00D746A5" w:rsidP="00D746A5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</w:pPr>
            <w:r w:rsidRPr="009824B6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sz w:val="22"/>
                <w:szCs w:val="22"/>
                <w:lang w:val="en-AU"/>
              </w:rPr>
              <w:t>Link to Companion Volume Implementation Guide</w:t>
            </w:r>
          </w:p>
        </w:tc>
      </w:tr>
    </w:tbl>
    <w:p w14:paraId="2C078E63" w14:textId="6532E5F8" w:rsidR="009A3AA5" w:rsidRDefault="009A3AA5"/>
    <w:sectPr w:rsidR="009A3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806A" w14:textId="77777777" w:rsidR="00993567" w:rsidRDefault="00993567" w:rsidP="00CC48CD">
      <w:pPr>
        <w:spacing w:after="0" w:line="240" w:lineRule="auto"/>
      </w:pPr>
      <w:r>
        <w:separator/>
      </w:r>
    </w:p>
  </w:endnote>
  <w:endnote w:type="continuationSeparator" w:id="0">
    <w:p w14:paraId="4BA16500" w14:textId="77777777" w:rsidR="00993567" w:rsidRDefault="00993567" w:rsidP="00CC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6651" w14:textId="77777777" w:rsidR="00CC48CD" w:rsidRDefault="00CC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9AC7" w14:textId="77777777" w:rsidR="00CC48CD" w:rsidRDefault="00CC4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A72F" w14:textId="77777777" w:rsidR="00CC48CD" w:rsidRDefault="00CC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4305" w14:textId="77777777" w:rsidR="00993567" w:rsidRDefault="00993567" w:rsidP="00CC48CD">
      <w:pPr>
        <w:spacing w:after="0" w:line="240" w:lineRule="auto"/>
      </w:pPr>
      <w:r>
        <w:separator/>
      </w:r>
    </w:p>
  </w:footnote>
  <w:footnote w:type="continuationSeparator" w:id="0">
    <w:p w14:paraId="161D1465" w14:textId="77777777" w:rsidR="00993567" w:rsidRDefault="00993567" w:rsidP="00CC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19BB" w14:textId="46B0D9BD" w:rsidR="00CC48CD" w:rsidRDefault="0086573D">
    <w:pPr>
      <w:pStyle w:val="Header"/>
    </w:pPr>
    <w:r>
      <w:rPr>
        <w:noProof/>
      </w:rPr>
    </w:r>
    <w:r w:rsidR="0086573D">
      <w:rPr>
        <w:noProof/>
      </w:rPr>
      <w:pict w14:anchorId="099DF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67.8pt;height:204.6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C78E" w14:textId="7A111872" w:rsidR="00CC48CD" w:rsidRDefault="0086573D">
    <w:pPr>
      <w:pStyle w:val="Header"/>
    </w:pPr>
    <w:r>
      <w:rPr>
        <w:noProof/>
      </w:rPr>
    </w:r>
    <w:r w:rsidR="0086573D">
      <w:rPr>
        <w:noProof/>
      </w:rPr>
      <w:pict w14:anchorId="7CE3B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67.8pt;height:204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8E44" w14:textId="64969E32" w:rsidR="00CC48CD" w:rsidRDefault="0086573D">
    <w:pPr>
      <w:pStyle w:val="Header"/>
    </w:pPr>
    <w:r>
      <w:rPr>
        <w:noProof/>
      </w:rPr>
    </w:r>
    <w:r w:rsidR="0086573D">
      <w:rPr>
        <w:noProof/>
      </w:rPr>
      <w:pict w14:anchorId="013FD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67.8pt;height:204.6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mqRMvc4fT2Zqv" int2:id="XdpzGtk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2604"/>
    <w:multiLevelType w:val="hybridMultilevel"/>
    <w:tmpl w:val="296C756A"/>
    <w:lvl w:ilvl="0" w:tplc="48600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F9B401"/>
    <w:rsid w:val="00042352"/>
    <w:rsid w:val="0004716E"/>
    <w:rsid w:val="000E1625"/>
    <w:rsid w:val="000F181A"/>
    <w:rsid w:val="00112D17"/>
    <w:rsid w:val="001433B1"/>
    <w:rsid w:val="00154EA9"/>
    <w:rsid w:val="0016106E"/>
    <w:rsid w:val="001751AE"/>
    <w:rsid w:val="001A1C45"/>
    <w:rsid w:val="001B666D"/>
    <w:rsid w:val="001E6B8D"/>
    <w:rsid w:val="00202AB0"/>
    <w:rsid w:val="00205CBE"/>
    <w:rsid w:val="0022569E"/>
    <w:rsid w:val="00225BCF"/>
    <w:rsid w:val="00234D2F"/>
    <w:rsid w:val="00244B09"/>
    <w:rsid w:val="0024711A"/>
    <w:rsid w:val="00256778"/>
    <w:rsid w:val="002A5F86"/>
    <w:rsid w:val="002B4239"/>
    <w:rsid w:val="002D610C"/>
    <w:rsid w:val="002F0701"/>
    <w:rsid w:val="00335821"/>
    <w:rsid w:val="003B463C"/>
    <w:rsid w:val="003B68CF"/>
    <w:rsid w:val="003B6CA0"/>
    <w:rsid w:val="003D72CD"/>
    <w:rsid w:val="003E65EA"/>
    <w:rsid w:val="00422F6C"/>
    <w:rsid w:val="00427F67"/>
    <w:rsid w:val="00457A0B"/>
    <w:rsid w:val="004666A7"/>
    <w:rsid w:val="004E23CD"/>
    <w:rsid w:val="00530588"/>
    <w:rsid w:val="00534AE1"/>
    <w:rsid w:val="005514CC"/>
    <w:rsid w:val="00563C1A"/>
    <w:rsid w:val="005A0DC0"/>
    <w:rsid w:val="005C2D42"/>
    <w:rsid w:val="00600F56"/>
    <w:rsid w:val="006121A0"/>
    <w:rsid w:val="00662890"/>
    <w:rsid w:val="00673269"/>
    <w:rsid w:val="006C0754"/>
    <w:rsid w:val="006F164B"/>
    <w:rsid w:val="00704815"/>
    <w:rsid w:val="007058C8"/>
    <w:rsid w:val="00746A8C"/>
    <w:rsid w:val="007867CA"/>
    <w:rsid w:val="007B74EF"/>
    <w:rsid w:val="007C3BAA"/>
    <w:rsid w:val="0086573D"/>
    <w:rsid w:val="008C7CE3"/>
    <w:rsid w:val="008D0EC3"/>
    <w:rsid w:val="008E4EF2"/>
    <w:rsid w:val="008E7D9D"/>
    <w:rsid w:val="008F089F"/>
    <w:rsid w:val="00903D55"/>
    <w:rsid w:val="00937E5E"/>
    <w:rsid w:val="00946FF5"/>
    <w:rsid w:val="00963FF1"/>
    <w:rsid w:val="00971F02"/>
    <w:rsid w:val="009824B6"/>
    <w:rsid w:val="00983DFE"/>
    <w:rsid w:val="00993567"/>
    <w:rsid w:val="009A3AA5"/>
    <w:rsid w:val="009B36D2"/>
    <w:rsid w:val="00A04427"/>
    <w:rsid w:val="00A31FEE"/>
    <w:rsid w:val="00A7405D"/>
    <w:rsid w:val="00A769D8"/>
    <w:rsid w:val="00A93248"/>
    <w:rsid w:val="00AA4D05"/>
    <w:rsid w:val="00AF754E"/>
    <w:rsid w:val="00B27CB7"/>
    <w:rsid w:val="00B56B81"/>
    <w:rsid w:val="00BB0FA6"/>
    <w:rsid w:val="00BF3336"/>
    <w:rsid w:val="00BF5CF4"/>
    <w:rsid w:val="00C52BE6"/>
    <w:rsid w:val="00C61D86"/>
    <w:rsid w:val="00CA1165"/>
    <w:rsid w:val="00CC13FE"/>
    <w:rsid w:val="00CC48CD"/>
    <w:rsid w:val="00CC58EE"/>
    <w:rsid w:val="00CF600B"/>
    <w:rsid w:val="00D05676"/>
    <w:rsid w:val="00D05775"/>
    <w:rsid w:val="00D239B8"/>
    <w:rsid w:val="00D25130"/>
    <w:rsid w:val="00D67757"/>
    <w:rsid w:val="00D746A5"/>
    <w:rsid w:val="00DF44AA"/>
    <w:rsid w:val="00E0170C"/>
    <w:rsid w:val="00E17249"/>
    <w:rsid w:val="00E276F7"/>
    <w:rsid w:val="00E3098B"/>
    <w:rsid w:val="00E31E10"/>
    <w:rsid w:val="00E61359"/>
    <w:rsid w:val="00E9474E"/>
    <w:rsid w:val="00EA16F1"/>
    <w:rsid w:val="00EA52B7"/>
    <w:rsid w:val="00EA75F4"/>
    <w:rsid w:val="00ED3393"/>
    <w:rsid w:val="00F124A1"/>
    <w:rsid w:val="00F14CE5"/>
    <w:rsid w:val="00F167A6"/>
    <w:rsid w:val="00F96AEF"/>
    <w:rsid w:val="00FC340B"/>
    <w:rsid w:val="00FE53CA"/>
    <w:rsid w:val="04BBF81A"/>
    <w:rsid w:val="0573C9BE"/>
    <w:rsid w:val="06F38D0A"/>
    <w:rsid w:val="0B744A00"/>
    <w:rsid w:val="10D5C480"/>
    <w:rsid w:val="16E5BE8C"/>
    <w:rsid w:val="19638F2B"/>
    <w:rsid w:val="1A8B4DE3"/>
    <w:rsid w:val="1B821A1C"/>
    <w:rsid w:val="25D7A7E0"/>
    <w:rsid w:val="29C7E031"/>
    <w:rsid w:val="29FD035D"/>
    <w:rsid w:val="2C1F0C54"/>
    <w:rsid w:val="2CF9B401"/>
    <w:rsid w:val="2D95F3EE"/>
    <w:rsid w:val="31C9F3D7"/>
    <w:rsid w:val="3320274B"/>
    <w:rsid w:val="33F829B6"/>
    <w:rsid w:val="3721278F"/>
    <w:rsid w:val="3C928806"/>
    <w:rsid w:val="3E04A9D6"/>
    <w:rsid w:val="499D62E4"/>
    <w:rsid w:val="4B03D495"/>
    <w:rsid w:val="4C97EADC"/>
    <w:rsid w:val="5102D22E"/>
    <w:rsid w:val="541B4EEA"/>
    <w:rsid w:val="582E3567"/>
    <w:rsid w:val="58613FD1"/>
    <w:rsid w:val="5A1A5F2A"/>
    <w:rsid w:val="5DE72B5F"/>
    <w:rsid w:val="5E1F6378"/>
    <w:rsid w:val="649826A3"/>
    <w:rsid w:val="65BE6631"/>
    <w:rsid w:val="68B27E86"/>
    <w:rsid w:val="68F30364"/>
    <w:rsid w:val="727F480F"/>
    <w:rsid w:val="72A30EF2"/>
    <w:rsid w:val="73B4EEAA"/>
    <w:rsid w:val="73EFE376"/>
    <w:rsid w:val="75AD7388"/>
    <w:rsid w:val="79ECFC8B"/>
    <w:rsid w:val="7A97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9B401"/>
  <w15:chartTrackingRefBased/>
  <w15:docId w15:val="{3E5A0DED-8247-478B-9200-2D43509F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CATUnitCode">
    <w:name w:val="** CAT Unit Code"/>
    <w:basedOn w:val="Normal"/>
    <w:uiPriority w:val="1"/>
    <w:semiHidden/>
    <w:rsid w:val="1B821A1C"/>
    <w:rPr>
      <w:b/>
      <w:bCs/>
    </w:rPr>
  </w:style>
  <w:style w:type="paragraph" w:customStyle="1" w:styleId="CATUnitTitle">
    <w:name w:val="** CAT Unit Title"/>
    <w:basedOn w:val="Normal"/>
    <w:semiHidden/>
    <w:rsid w:val="1B821A1C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aliases w:val="Qualification Head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600F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821"/>
    <w:rPr>
      <w:b/>
      <w:bCs/>
      <w:sz w:val="20"/>
      <w:szCs w:val="20"/>
    </w:rPr>
  </w:style>
  <w:style w:type="paragraph" w:customStyle="1" w:styleId="CATNormal">
    <w:name w:val="CAT Normal"/>
    <w:link w:val="CATNormalChar"/>
    <w:rsid w:val="00B56B81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AU" w:eastAsia="en-US"/>
    </w:rPr>
  </w:style>
  <w:style w:type="character" w:customStyle="1" w:styleId="CATNormalChar">
    <w:name w:val="CAT Normal Char"/>
    <w:link w:val="CATNormal"/>
    <w:rsid w:val="00B56B81"/>
    <w:rPr>
      <w:rFonts w:ascii="Arial" w:eastAsia="Times New Roman" w:hAnsi="Arial" w:cs="Times New Roman"/>
      <w:sz w:val="22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C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CD"/>
  </w:style>
  <w:style w:type="paragraph" w:styleId="Footer">
    <w:name w:val="footer"/>
    <w:basedOn w:val="Normal"/>
    <w:link w:val="FooterChar"/>
    <w:uiPriority w:val="99"/>
    <w:unhideWhenUsed/>
    <w:rsid w:val="00CC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eewheeler\Desktop\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>
                <a:latin typeface="Aptos" panose="020B0004020202020204" pitchFamily="34" charset="0"/>
              </a:rPr>
              <a:t>ACSF Levels</a:t>
            </a:r>
            <a:r>
              <a:rPr lang="en-GB" sz="1800" b="1" baseline="0">
                <a:latin typeface="Aptos" panose="020B0004020202020204" pitchFamily="34" charset="0"/>
              </a:rPr>
              <a:t> for Allied Health Assistance - Audiometry Skill Set</a:t>
            </a:r>
            <a:endParaRPr lang="en-GB" sz="1800" b="1">
              <a:latin typeface="Aptos" panose="020B00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'Audiometry SS'!$A$1:$A$5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'Audiometry SS'!$B$1:$B$5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8-D545-ADE8-81BCA1985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3132976"/>
        <c:axId val="713134688"/>
      </c:barChart>
      <c:catAx>
        <c:axId val="7131329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Core Skills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3134688"/>
        <c:crosses val="autoZero"/>
        <c:auto val="1"/>
        <c:lblAlgn val="ctr"/>
        <c:lblOffset val="100"/>
        <c:noMultiLvlLbl val="0"/>
      </c:catAx>
      <c:valAx>
        <c:axId val="713134688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ACSF Levels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3132976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0ebb184-9cc2-404c-86f7-3b1c39b32331">Ready for submission</Status>
    <CurrentCode xmlns="b0ebb184-9cc2-404c-86f7-3b1c39b32331">HLTSS00088</CurrentCode>
    <AfterABsubmissiondetailedchanges xmlns="b0ebb184-9cc2-404c-86f7-3b1c39b32331" xsi:nil="true"/>
    <Newunittitle xmlns="b0ebb184-9cc2-404c-86f7-3b1c39b32331">Not yet assigned</Newunittitle>
    <Duedate xmlns="b0ebb184-9cc2-404c-86f7-3b1c39b32331" xsi:nil="true"/>
    <Newunitcode xmlns="b0ebb184-9cc2-404c-86f7-3b1c39b32331">Not yet assigned</Newunitcode>
    <Componenttype xmlns="b0ebb184-9cc2-404c-86f7-3b1c39b32331">Skill set</Componenttype>
    <Postconsultationdetailedchanges xmlns="b0ebb184-9cc2-404c-86f7-3b1c39b32331" xsi:nil="true"/>
    <Changetype xmlns="b0ebb184-9cc2-404c-86f7-3b1c39b32331">Major</Changetype>
    <Pre_x002d_draftdetailedchanges xmlns="b0ebb184-9cc2-404c-86f7-3b1c39b32331" xsi:nil="true"/>
    <ExportedtootherQualifications_x002f_TPs xmlns="b0ebb184-9cc2-404c-86f7-3b1c39b32331">false</ExportedtootherQualifications_x002f_TPs>
    <AfterQAdetailedchanges xmlns="b0ebb184-9cc2-404c-86f7-3b1c39b32331" xsi:nil="true"/>
    <PostSORdetailedchanges xmlns="b0ebb184-9cc2-404c-86f7-3b1c39b32331" xsi:nil="true"/>
    <Enrolmentnumbers_x0028_lastyeardataavailable_x0029_ xmlns="b0ebb184-9cc2-404c-86f7-3b1c39b32331" xsi:nil="true"/>
    <Technicalwriter xmlns="b0ebb184-9cc2-404c-86f7-3b1c39b32331">
      <UserInfo>
        <DisplayName>Jasmeet Kaur</DisplayName>
        <AccountId>14</AccountId>
        <AccountType/>
      </UserInfo>
    </Technicalwriter>
    <Prerequisites xmlns="b0ebb184-9cc2-404c-86f7-3b1c39b32331">N/A</Prerequisites>
    <AfterTCmeetingdetailedchanges xmlns="b0ebb184-9cc2-404c-86f7-3b1c39b32331" xsi:nil="true"/>
    <Equivalence xmlns="b0ebb184-9cc2-404c-86f7-3b1c39b32331" xsi:nil="true"/>
    <TaxCatchAll xmlns="07d774a0-5bde-4699-ade2-d09c13d8c44d" xsi:nil="true"/>
    <lcf76f155ced4ddcb4097134ff3c332f xmlns="b0ebb184-9cc2-404c-86f7-3b1c39b323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5E78EB0B48C44B73564ADA956B39C" ma:contentTypeVersion="29" ma:contentTypeDescription="Create a new document." ma:contentTypeScope="" ma:versionID="f9eecc8f411826edd03578407dc30b65">
  <xsd:schema xmlns:xsd="http://www.w3.org/2001/XMLSchema" xmlns:xs="http://www.w3.org/2001/XMLSchema" xmlns:p="http://schemas.microsoft.com/office/2006/metadata/properties" xmlns:ns2="b0ebb184-9cc2-404c-86f7-3b1c39b32331" xmlns:ns3="07d774a0-5bde-4699-ade2-d09c13d8c44d" targetNamespace="http://schemas.microsoft.com/office/2006/metadata/properties" ma:root="true" ma:fieldsID="bc2539f5d5bd2bd7440553cf1c790757" ns2:_="" ns3:_="">
    <xsd:import namespace="b0ebb184-9cc2-404c-86f7-3b1c39b32331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b184-9cc2-404c-86f7-3b1c39b32331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Additional Evidence - September 4th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e79cd2-1ed5-4413-980a-eadead3ac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4f724b6c-b347-4f9c-966e-c930744e9b12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7758D-DF30-41BB-A4A9-6539BCFB1DC8}">
  <ds:schemaRefs>
    <ds:schemaRef ds:uri="http://schemas.microsoft.com/office/2006/metadata/properties"/>
    <ds:schemaRef ds:uri="http://schemas.microsoft.com/office/infopath/2007/PartnerControls"/>
    <ds:schemaRef ds:uri="b0ebb184-9cc2-404c-86f7-3b1c39b32331"/>
    <ds:schemaRef ds:uri="07d774a0-5bde-4699-ade2-d09c13d8c44d"/>
  </ds:schemaRefs>
</ds:datastoreItem>
</file>

<file path=customXml/itemProps2.xml><?xml version="1.0" encoding="utf-8"?>
<ds:datastoreItem xmlns:ds="http://schemas.openxmlformats.org/officeDocument/2006/customXml" ds:itemID="{73AB0078-80B5-4669-AFAB-76F4277ED9AA}"/>
</file>

<file path=customXml/itemProps3.xml><?xml version="1.0" encoding="utf-8"?>
<ds:datastoreItem xmlns:ds="http://schemas.openxmlformats.org/officeDocument/2006/customXml" ds:itemID="{6513CAC2-4A13-4762-BF7D-2214F87C1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Jasmeet Kaur</dc:creator>
  <cp:keywords/>
  <dc:description/>
  <cp:lastModifiedBy>Cristina Ferrari</cp:lastModifiedBy>
  <cp:revision>78</cp:revision>
  <dcterms:created xsi:type="dcterms:W3CDTF">2024-11-13T16:48:00Z</dcterms:created>
  <dcterms:modified xsi:type="dcterms:W3CDTF">2025-08-29T03:22:00Z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0x010100C1E5E78EB0B48C44B73564ADA956B39C</vt:lpwstr>
  </property>
  <property fmtid="{D5CDD505-2E9C-101B-9397-08002B2CF9AE}" pid="3" name="MediaServiceImageTags">
    <vt:lpwstr/>
  </property>
  <property fmtid="{D5CDD505-2E9C-101B-9397-08002B2CF9AE}" pid="4" name="Order">
    <vt:r8>2286700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